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0AEF" w14:textId="77777777" w:rsidR="003B0585" w:rsidRDefault="003B0585" w:rsidP="00432139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14:paraId="73222FD0" w14:textId="77777777" w:rsidR="003B0585" w:rsidRDefault="003B0585" w:rsidP="00432139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14:paraId="01913939" w14:textId="77777777" w:rsidR="00BA0C98" w:rsidRDefault="00BA0C98" w:rsidP="00BA0C98">
      <w:pPr>
        <w:jc w:val="center"/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3B4D0085" w14:textId="77777777" w:rsidR="00E969CD" w:rsidRDefault="00E969CD" w:rsidP="00BA0C98">
      <w:pPr>
        <w:jc w:val="center"/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1419CCBB" w14:textId="77777777" w:rsidR="00324142" w:rsidRDefault="00324142" w:rsidP="00324142">
      <w:pPr>
        <w:jc w:val="center"/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  <w:t>DEVOLUCION DEL GASOLEO PROFESIONAL EN ESPAÑA (TIPP)</w:t>
      </w:r>
    </w:p>
    <w:p w14:paraId="3CCFDBC7" w14:textId="77777777" w:rsidR="00E969CD" w:rsidRDefault="00E969CD" w:rsidP="00324142">
      <w:pPr>
        <w:jc w:val="center"/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0D2F43D4" w14:textId="77777777" w:rsidR="00E969CD" w:rsidRDefault="00E969CD" w:rsidP="00324142">
      <w:pPr>
        <w:jc w:val="center"/>
        <w:rPr>
          <w:rFonts w:ascii="Helvetica" w:eastAsia="Times New Roman" w:hAnsi="Helvetica" w:cs="Helvetica"/>
          <w:b/>
          <w:i w:val="0"/>
          <w:iCs w:val="0"/>
          <w:color w:val="52535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6949CA05" w14:textId="77777777" w:rsidR="00324142" w:rsidRPr="00016D13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16D13"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QUE ES LA TIPP</w:t>
      </w:r>
    </w:p>
    <w:p w14:paraId="4ED80FE3" w14:textId="77777777" w:rsidR="00324142" w:rsidRPr="00D4676D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 w:rsidRPr="00D4676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La TIPP es la devolución parcial del Impuesto sobre Hidrocarburos por el gasóleo de uso profesional. Compuesto por una parte estatal y otra </w:t>
      </w:r>
      <w:r w:rsidR="00DD254C" w:rsidRPr="00D4676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autonómica</w:t>
      </w:r>
      <w:r w:rsidRPr="00D4676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.</w:t>
      </w:r>
    </w:p>
    <w:p w14:paraId="51E64AC9" w14:textId="77777777" w:rsidR="00324142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 w:val="28"/>
          <w:szCs w:val="28"/>
          <w:bdr w:val="none" w:sz="0" w:space="0" w:color="auto" w:frame="1"/>
          <w:shd w:val="clear" w:color="auto" w:fill="FFFFFF"/>
        </w:rPr>
      </w:pPr>
    </w:p>
    <w:p w14:paraId="0ACFDA43" w14:textId="77777777" w:rsidR="00324142" w:rsidRPr="00016D13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16D13"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QUIEN TIENE DERECHO</w:t>
      </w:r>
    </w:p>
    <w:p w14:paraId="62F4FCA0" w14:textId="77777777" w:rsidR="00324142" w:rsidRPr="00D4676D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bdr w:val="none" w:sz="0" w:space="0" w:color="auto" w:frame="1"/>
          <w:shd w:val="clear" w:color="auto" w:fill="FFFFFF"/>
        </w:rPr>
      </w:pPr>
      <w:r w:rsidRPr="00D4676D">
        <w:rPr>
          <w:rFonts w:ascii="Helvetica" w:eastAsia="Times New Roman" w:hAnsi="Helvetica" w:cs="Helvetica"/>
          <w:i w:val="0"/>
          <w:iCs w:val="0"/>
          <w:color w:val="525351"/>
          <w:bdr w:val="none" w:sz="0" w:space="0" w:color="auto" w:frame="1"/>
          <w:shd w:val="clear" w:color="auto" w:fill="FFFFFF"/>
        </w:rPr>
        <w:t>Tienen derecho a esta devolución los vehículos de mercancías de igual o más de 7,5 t, los vehículos de pasajeros incluidos en las categorías M2 o M3 y los taxis.</w:t>
      </w:r>
    </w:p>
    <w:p w14:paraId="6B8C807B" w14:textId="77777777" w:rsidR="00324142" w:rsidRPr="00016D13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</w:pPr>
    </w:p>
    <w:p w14:paraId="0829E047" w14:textId="77777777" w:rsidR="00324142" w:rsidRPr="00016D13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16D13"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CUANTO SE RECUPERA</w:t>
      </w:r>
    </w:p>
    <w:p w14:paraId="498DC55B" w14:textId="77777777" w:rsidR="00324142" w:rsidRDefault="00E969CD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A</w:t>
      </w:r>
      <w:r w:rsidRPr="00E969C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partir del día 1 de enero 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de 2019, de forma homogénea </w:t>
      </w:r>
      <w:r w:rsidRPr="00E969C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en todo el territorio del estado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, se puede recuperar </w:t>
      </w:r>
      <w:r w:rsidRPr="00E969C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48 euros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+ IVA, por cada mil litros repostados. </w:t>
      </w:r>
    </w:p>
    <w:p w14:paraId="5ED90B6C" w14:textId="77777777" w:rsidR="00E969CD" w:rsidRDefault="00E969CD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</w:p>
    <w:p w14:paraId="4798267F" w14:textId="77777777" w:rsidR="00324142" w:rsidRDefault="00E969CD" w:rsidP="00324142">
      <w:pPr>
        <w:rPr>
          <w:rFonts w:ascii="Helvetica" w:eastAsia="Times New Roman" w:hAnsi="Helvetica" w:cs="Helvetica"/>
          <w:i w:val="0"/>
          <w:iCs w:val="0"/>
          <w:color w:val="525351"/>
          <w:sz w:val="28"/>
          <w:szCs w:val="28"/>
          <w:bdr w:val="none" w:sz="0" w:space="0" w:color="auto" w:frame="1"/>
          <w:shd w:val="clear" w:color="auto" w:fill="FFFFFF"/>
        </w:rPr>
      </w:pPr>
      <w:r w:rsidRPr="00E969C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La devolución no excederá de la que corresponderían a 50.000 litros de gasóleo por vehículo y año, salvo que se trate de auto taxis, en cuyo caso la cuantía máxima de la devolución no excederá de la que correspondería a 5.000 litros por auto-taxi y año.</w:t>
      </w:r>
    </w:p>
    <w:p w14:paraId="33099E12" w14:textId="77777777" w:rsidR="00324142" w:rsidRPr="00D4676D" w:rsidRDefault="00324142" w:rsidP="00324142">
      <w:pPr>
        <w:rPr>
          <w:rFonts w:ascii="Helvetica" w:eastAsia="Times New Roman" w:hAnsi="Helvetica" w:cs="Helvetica"/>
          <w:i w:val="0"/>
          <w:iCs w:val="0"/>
          <w:color w:val="525351"/>
          <w:sz w:val="20"/>
          <w:szCs w:val="28"/>
          <w:bdr w:val="none" w:sz="0" w:space="0" w:color="auto" w:frame="1"/>
          <w:shd w:val="clear" w:color="auto" w:fill="FFFFFF"/>
        </w:rPr>
      </w:pPr>
    </w:p>
    <w:p w14:paraId="1301DA67" w14:textId="77777777" w:rsidR="00C55BD6" w:rsidRDefault="00C55BD6" w:rsidP="00324142">
      <w:pPr>
        <w:rPr>
          <w:rFonts w:ascii="Helvetica" w:eastAsia="Times New Roman" w:hAnsi="Helvetica" w:cs="Helvetica"/>
          <w:i w:val="0"/>
          <w:iCs w:val="0"/>
          <w:color w:val="525351"/>
          <w:sz w:val="28"/>
          <w:szCs w:val="28"/>
          <w:bdr w:val="none" w:sz="0" w:space="0" w:color="auto" w:frame="1"/>
          <w:shd w:val="clear" w:color="auto" w:fill="FFFFFF"/>
        </w:rPr>
      </w:pPr>
    </w:p>
    <w:p w14:paraId="49246E4B" w14:textId="77777777" w:rsidR="00C55BD6" w:rsidRPr="00324142" w:rsidRDefault="00324142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 w:val="28"/>
          <w:szCs w:val="28"/>
          <w:bdr w:val="none" w:sz="0" w:space="0" w:color="auto" w:frame="1"/>
          <w:shd w:val="clear" w:color="auto" w:fill="FFFFFF"/>
        </w:rPr>
      </w:pPr>
      <w:r w:rsidRPr="00016D13"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REQUISITOS</w:t>
      </w:r>
    </w:p>
    <w:p w14:paraId="15A81B06" w14:textId="77777777" w:rsidR="006216B1" w:rsidRPr="006216B1" w:rsidRDefault="00DD254C" w:rsidP="00C55BD6">
      <w:pPr>
        <w:pStyle w:val="Prrafodelista"/>
        <w:numPr>
          <w:ilvl w:val="0"/>
          <w:numId w:val="10"/>
        </w:num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Estar inscrito</w:t>
      </w:r>
      <w:r w:rsidR="00D4676D"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en el censo de beneficiarios</w:t>
      </w:r>
      <w:r w:rsidR="006216B1"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6D217E9B" w14:textId="77777777" w:rsidR="00D4676D" w:rsidRPr="006216B1" w:rsidRDefault="006216B1" w:rsidP="00C55BD6">
      <w:pPr>
        <w:pStyle w:val="Prrafodelista"/>
        <w:numPr>
          <w:ilvl w:val="0"/>
          <w:numId w:val="10"/>
        </w:num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P</w:t>
      </w:r>
      <w:r w:rsidR="00D4676D"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agar con una tarjeta gasóleo profesional los reportajes</w:t>
      </w:r>
      <w:r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. En la propia tarjeta deberá figurar la expresión “Gasóleo Profesional”.</w:t>
      </w:r>
    </w:p>
    <w:p w14:paraId="390300D0" w14:textId="77777777" w:rsidR="00D4676D" w:rsidRDefault="00D4676D" w:rsidP="00C55BD6">
      <w:pPr>
        <w:pStyle w:val="Prrafodelista"/>
        <w:numPr>
          <w:ilvl w:val="0"/>
          <w:numId w:val="10"/>
        </w:num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Las </w:t>
      </w:r>
      <w:r w:rsidR="006216B1"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empresas</w:t>
      </w:r>
      <w:r w:rsidRPr="006216B1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con domicilio fiscal fuera de España deberán estar provistas de un NIF para no residentes.</w:t>
      </w:r>
      <w:r w:rsidR="00DD254C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Si no disponen de este NIF, para solicitarlo, será necesario aportar poder de representación e información registral apostillados por la AJA.</w:t>
      </w:r>
    </w:p>
    <w:p w14:paraId="4342F2D2" w14:textId="77777777" w:rsidR="00C55BD6" w:rsidRPr="00C55BD6" w:rsidRDefault="00C55BD6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</w:p>
    <w:p w14:paraId="7A6A3229" w14:textId="77777777" w:rsidR="006216B1" w:rsidRDefault="006216B1" w:rsidP="00C55BD6">
      <w:p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</w:p>
    <w:p w14:paraId="571340DC" w14:textId="77777777" w:rsidR="006216B1" w:rsidRPr="00016D13" w:rsidRDefault="00DD254C" w:rsidP="00C55BD6">
      <w:pPr>
        <w:jc w:val="both"/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16D13">
        <w:rPr>
          <w:rFonts w:ascii="Helvetica" w:eastAsia="Times New Roman" w:hAnsi="Helvetica" w:cs="Helvetica"/>
          <w:i w:val="0"/>
          <w:iCs w:val="0"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HONORARIOS SETIR</w:t>
      </w:r>
    </w:p>
    <w:p w14:paraId="18AC1C67" w14:textId="77777777" w:rsidR="00DD254C" w:rsidRDefault="00DD254C" w:rsidP="00C55BD6">
      <w:pPr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Setir se encarga de realizar todas las gestiones necesarias para poder solicitar la devolución de este impuesto. Los honorarios,</w:t>
      </w:r>
      <w:r w:rsidR="00C55BD6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impuestos no incluidos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, son:</w:t>
      </w:r>
    </w:p>
    <w:p w14:paraId="1DCA6526" w14:textId="297FEEA9" w:rsidR="00DD254C" w:rsidRDefault="00DD254C" w:rsidP="00C55BD6">
      <w:pPr>
        <w:pStyle w:val="Prrafodelista"/>
        <w:numPr>
          <w:ilvl w:val="0"/>
          <w:numId w:val="10"/>
        </w:num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Sobre la cantidad recuperada en cada solicitud trimestral: </w:t>
      </w:r>
      <w:r w:rsidR="00C55BD6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5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% con un mínimo de </w:t>
      </w:r>
      <w:r w:rsidR="009657A7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90</w:t>
      </w: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€.</w:t>
      </w:r>
    </w:p>
    <w:p w14:paraId="78973273" w14:textId="0FED4CD5" w:rsidR="00DD254C" w:rsidRDefault="00DD254C" w:rsidP="00C55BD6">
      <w:pPr>
        <w:pStyle w:val="Prrafodelista"/>
        <w:numPr>
          <w:ilvl w:val="0"/>
          <w:numId w:val="10"/>
        </w:numPr>
        <w:ind w:left="284" w:hanging="218"/>
        <w:jc w:val="both"/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En caso de empresas extranjeras que no dispongan de NIF para no residentes,</w:t>
      </w:r>
      <w:r w:rsidR="00C55BD6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los honorarios por las gestiones necesarias para </w:t>
      </w:r>
      <w:r w:rsidR="00E969C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obtenerlo</w:t>
      </w:r>
      <w:r w:rsidR="00C55BD6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corresponden a </w:t>
      </w:r>
      <w:r w:rsidR="0087625D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>150</w:t>
      </w:r>
      <w:r w:rsidR="00C55BD6">
        <w:rPr>
          <w:rFonts w:ascii="Helvetica" w:eastAsia="Times New Roman" w:hAnsi="Helvetica" w:cs="Helvetica"/>
          <w:i w:val="0"/>
          <w:iCs w:val="0"/>
          <w:color w:val="525351"/>
          <w:szCs w:val="28"/>
          <w:bdr w:val="none" w:sz="0" w:space="0" w:color="auto" w:frame="1"/>
          <w:shd w:val="clear" w:color="auto" w:fill="FFFFFF"/>
        </w:rPr>
        <w:t xml:space="preserve"> €.</w:t>
      </w:r>
    </w:p>
    <w:sectPr w:rsidR="00DD254C" w:rsidSect="00BA0C98">
      <w:headerReference w:type="default" r:id="rId11"/>
      <w:footerReference w:type="default" r:id="rId12"/>
      <w:pgSz w:w="11906" w:h="16838"/>
      <w:pgMar w:top="1219" w:right="991" w:bottom="24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4317" w14:textId="77777777" w:rsidR="00C63106" w:rsidRDefault="00C63106" w:rsidP="00C74694">
      <w:r>
        <w:separator/>
      </w:r>
    </w:p>
  </w:endnote>
  <w:endnote w:type="continuationSeparator" w:id="0">
    <w:p w14:paraId="6F73A4F3" w14:textId="77777777" w:rsidR="00C63106" w:rsidRDefault="00C63106" w:rsidP="00C7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5AE3" w14:textId="77777777" w:rsidR="00182084" w:rsidRDefault="00182084" w:rsidP="00C74694">
    <w:pPr>
      <w:rPr>
        <w:sz w:val="18"/>
        <w:szCs w:val="18"/>
      </w:rPr>
    </w:pPr>
    <w:r>
      <w:rPr>
        <w:sz w:val="18"/>
        <w:szCs w:val="18"/>
      </w:rPr>
      <w:t xml:space="preserve">                             </w:t>
    </w:r>
  </w:p>
  <w:p w14:paraId="7BD29E16" w14:textId="77777777" w:rsidR="00182084" w:rsidRDefault="00182084" w:rsidP="00C74694">
    <w:pPr>
      <w:rPr>
        <w:sz w:val="18"/>
        <w:szCs w:val="1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3A1829DC" wp14:editId="4C0AB496">
          <wp:simplePos x="0" y="0"/>
          <wp:positionH relativeFrom="column">
            <wp:posOffset>-281940</wp:posOffset>
          </wp:positionH>
          <wp:positionV relativeFrom="paragraph">
            <wp:posOffset>109220</wp:posOffset>
          </wp:positionV>
          <wp:extent cx="314325" cy="302260"/>
          <wp:effectExtent l="0" t="0" r="9525" b="2540"/>
          <wp:wrapNone/>
          <wp:docPr id="6" name="4 Imagen" descr="logo circulo nuevo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rculo nuevo 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BECC43" wp14:editId="1FAF0427">
              <wp:simplePos x="0" y="0"/>
              <wp:positionH relativeFrom="column">
                <wp:posOffset>-386715</wp:posOffset>
              </wp:positionH>
              <wp:positionV relativeFrom="paragraph">
                <wp:posOffset>39370</wp:posOffset>
              </wp:positionV>
              <wp:extent cx="6807200" cy="419100"/>
              <wp:effectExtent l="0" t="0" r="1270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7200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39169B2" id="AutoShape 2" o:spid="_x0000_s1026" style="position:absolute;margin-left:-30.45pt;margin-top:3.1pt;width:536pt;height:3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" strokecolor="#b8cce4 [1300]"/>
          </w:pict>
        </mc:Fallback>
      </mc:AlternateContent>
    </w:r>
    <w:r>
      <w:rPr>
        <w:sz w:val="18"/>
        <w:szCs w:val="18"/>
      </w:rPr>
      <w:t xml:space="preserve">                                 </w:t>
    </w:r>
  </w:p>
  <w:p w14:paraId="5A07BA36" w14:textId="77777777" w:rsidR="00182084" w:rsidRDefault="00182084" w:rsidP="00E60DEA">
    <w:pPr>
      <w:rPr>
        <w:rFonts w:asciiTheme="minorHAnsi" w:hAnsiTheme="minorHAnsi"/>
        <w:i w:val="0"/>
        <w:color w:val="auto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183F0F88" wp14:editId="46439332">
          <wp:simplePos x="0" y="0"/>
          <wp:positionH relativeFrom="column">
            <wp:posOffset>5823585</wp:posOffset>
          </wp:positionH>
          <wp:positionV relativeFrom="paragraph">
            <wp:posOffset>19685</wp:posOffset>
          </wp:positionV>
          <wp:extent cx="466725" cy="201295"/>
          <wp:effectExtent l="0" t="0" r="9525" b="8255"/>
          <wp:wrapNone/>
          <wp:docPr id="4" name="3 Imagen" descr="Logo ast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tic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                  </w:t>
    </w:r>
    <w:r w:rsidRPr="000F772A">
      <w:rPr>
        <w:rFonts w:asciiTheme="minorHAnsi" w:hAnsiTheme="minorHAnsi"/>
        <w:i w:val="0"/>
        <w:color w:val="auto"/>
        <w:sz w:val="18"/>
        <w:szCs w:val="18"/>
      </w:rPr>
      <w:t xml:space="preserve"> SETIR SLU es la empresa de servicios de la Asociación del Transporte Internacional por Carretera ASTIC</w:t>
    </w:r>
  </w:p>
  <w:p w14:paraId="757F8C25" w14:textId="77777777" w:rsidR="00182084" w:rsidRPr="000F772A" w:rsidRDefault="00182084" w:rsidP="00E60DEA">
    <w:pPr>
      <w:rPr>
        <w:rFonts w:asciiTheme="minorHAnsi" w:hAnsiTheme="minorHAnsi"/>
        <w:i w:val="0"/>
        <w:color w:val="auto"/>
        <w:sz w:val="18"/>
        <w:szCs w:val="18"/>
      </w:rPr>
    </w:pPr>
    <w:r>
      <w:rPr>
        <w:rFonts w:asciiTheme="minorHAnsi" w:hAnsiTheme="minorHAnsi"/>
        <w:i w:val="0"/>
        <w:color w:val="auto"/>
        <w:sz w:val="18"/>
        <w:szCs w:val="18"/>
      </w:rPr>
      <w:t xml:space="preserve">                </w:t>
    </w:r>
    <w:r w:rsidRPr="000F772A">
      <w:rPr>
        <w:rFonts w:asciiTheme="minorHAnsi" w:hAnsiTheme="minorHAnsi"/>
        <w:i w:val="0"/>
        <w:color w:val="auto"/>
        <w:sz w:val="18"/>
        <w:szCs w:val="18"/>
      </w:rPr>
      <w:t xml:space="preserve">Visite nuestra web: </w:t>
    </w:r>
    <w:hyperlink r:id="rId3" w:history="1">
      <w:r w:rsidRPr="000F772A">
        <w:rPr>
          <w:rFonts w:asciiTheme="minorHAnsi" w:hAnsiTheme="minorHAnsi"/>
          <w:i w:val="0"/>
          <w:color w:val="auto"/>
          <w:sz w:val="18"/>
          <w:szCs w:val="18"/>
        </w:rPr>
        <w:t>www.setir.es</w:t>
      </w:r>
    </w:hyperlink>
    <w:r w:rsidRPr="000F772A">
      <w:rPr>
        <w:rFonts w:asciiTheme="minorHAnsi" w:hAnsiTheme="minorHAnsi"/>
        <w:i w:val="0"/>
        <w:color w:val="auto"/>
        <w:sz w:val="18"/>
        <w:szCs w:val="18"/>
      </w:rPr>
      <w:t xml:space="preserve">                      </w:t>
    </w:r>
    <w:hyperlink r:id="rId4" w:history="1">
      <w:r w:rsidRPr="000F772A">
        <w:rPr>
          <w:rFonts w:asciiTheme="minorHAnsi" w:hAnsiTheme="minorHAnsi"/>
          <w:i w:val="0"/>
          <w:color w:val="auto"/>
          <w:sz w:val="18"/>
          <w:szCs w:val="18"/>
        </w:rPr>
        <w:t>comercial@setir.es</w:t>
      </w:r>
    </w:hyperlink>
    <w:r w:rsidRPr="000F772A">
      <w:rPr>
        <w:rFonts w:asciiTheme="minorHAnsi" w:hAnsiTheme="minorHAnsi"/>
        <w:i w:val="0"/>
        <w:color w:val="auto"/>
        <w:sz w:val="18"/>
        <w:szCs w:val="18"/>
      </w:rPr>
      <w:t xml:space="preserve">                     Visite nuestra web:  </w:t>
    </w:r>
    <w:hyperlink r:id="rId5" w:history="1">
      <w:r w:rsidRPr="000F772A">
        <w:rPr>
          <w:rFonts w:asciiTheme="minorHAnsi" w:hAnsiTheme="minorHAnsi"/>
          <w:i w:val="0"/>
          <w:color w:val="auto"/>
          <w:sz w:val="18"/>
          <w:szCs w:val="18"/>
        </w:rPr>
        <w:t>www.astic.net</w:t>
      </w:r>
    </w:hyperlink>
  </w:p>
  <w:p w14:paraId="3930622D" w14:textId="77777777" w:rsidR="00182084" w:rsidRPr="000F772A" w:rsidRDefault="00182084" w:rsidP="00E60DEA">
    <w:pPr>
      <w:rPr>
        <w:rFonts w:asciiTheme="minorHAnsi" w:hAnsiTheme="minorHAnsi"/>
        <w:i w:val="0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D085" w14:textId="77777777" w:rsidR="00C63106" w:rsidRDefault="00C63106" w:rsidP="00C74694">
      <w:r>
        <w:separator/>
      </w:r>
    </w:p>
  </w:footnote>
  <w:footnote w:type="continuationSeparator" w:id="0">
    <w:p w14:paraId="53C24197" w14:textId="77777777" w:rsidR="00C63106" w:rsidRDefault="00C63106" w:rsidP="00C7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BA73" w14:textId="77777777" w:rsidR="00182084" w:rsidRPr="00CA25D0" w:rsidRDefault="00182084" w:rsidP="00D107BE">
    <w:r>
      <w:rPr>
        <w:noProof/>
      </w:rPr>
      <w:drawing>
        <wp:anchor distT="0" distB="0" distL="114300" distR="114300" simplePos="0" relativeHeight="251659776" behindDoc="0" locked="0" layoutInCell="1" allowOverlap="1" wp14:anchorId="6C1B325E" wp14:editId="6A683077">
          <wp:simplePos x="0" y="0"/>
          <wp:positionH relativeFrom="column">
            <wp:posOffset>-628015</wp:posOffset>
          </wp:positionH>
          <wp:positionV relativeFrom="paragraph">
            <wp:posOffset>29845</wp:posOffset>
          </wp:positionV>
          <wp:extent cx="7389038" cy="1405260"/>
          <wp:effectExtent l="0" t="0" r="254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Set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38" cy="140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C76FD" w14:textId="77777777" w:rsidR="00182084" w:rsidRDefault="001820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CE6"/>
    <w:multiLevelType w:val="hybridMultilevel"/>
    <w:tmpl w:val="F21A8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100"/>
    <w:multiLevelType w:val="hybridMultilevel"/>
    <w:tmpl w:val="847648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372D6"/>
    <w:multiLevelType w:val="multilevel"/>
    <w:tmpl w:val="B888F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6384"/>
    <w:multiLevelType w:val="hybridMultilevel"/>
    <w:tmpl w:val="118EB38E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38FB237F"/>
    <w:multiLevelType w:val="hybridMultilevel"/>
    <w:tmpl w:val="BC9E9C44"/>
    <w:lvl w:ilvl="0" w:tplc="17C43306">
      <w:start w:val="3"/>
      <w:numFmt w:val="bullet"/>
      <w:lvlText w:val="-"/>
      <w:lvlJc w:val="left"/>
      <w:pPr>
        <w:ind w:left="1065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19B2A71"/>
    <w:multiLevelType w:val="hybridMultilevel"/>
    <w:tmpl w:val="E8AA7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0DC0"/>
    <w:multiLevelType w:val="hybridMultilevel"/>
    <w:tmpl w:val="33C45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847EE"/>
    <w:multiLevelType w:val="hybridMultilevel"/>
    <w:tmpl w:val="565C909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10538"/>
    <w:multiLevelType w:val="hybridMultilevel"/>
    <w:tmpl w:val="B392607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022DA2"/>
    <w:multiLevelType w:val="hybridMultilevel"/>
    <w:tmpl w:val="9604A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0469">
    <w:abstractNumId w:val="8"/>
  </w:num>
  <w:num w:numId="2" w16cid:durableId="1924336078">
    <w:abstractNumId w:val="3"/>
  </w:num>
  <w:num w:numId="3" w16cid:durableId="2079673436">
    <w:abstractNumId w:val="7"/>
  </w:num>
  <w:num w:numId="4" w16cid:durableId="1905752924">
    <w:abstractNumId w:val="2"/>
  </w:num>
  <w:num w:numId="5" w16cid:durableId="1982230762">
    <w:abstractNumId w:val="1"/>
  </w:num>
  <w:num w:numId="6" w16cid:durableId="433289216">
    <w:abstractNumId w:val="0"/>
  </w:num>
  <w:num w:numId="7" w16cid:durableId="1861356024">
    <w:abstractNumId w:val="5"/>
  </w:num>
  <w:num w:numId="8" w16cid:durableId="750197736">
    <w:abstractNumId w:val="9"/>
  </w:num>
  <w:num w:numId="9" w16cid:durableId="1356809262">
    <w:abstractNumId w:val="6"/>
  </w:num>
  <w:num w:numId="10" w16cid:durableId="1494252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F3"/>
    <w:rsid w:val="00016D13"/>
    <w:rsid w:val="00020474"/>
    <w:rsid w:val="00023DF2"/>
    <w:rsid w:val="000359AC"/>
    <w:rsid w:val="000717E7"/>
    <w:rsid w:val="000A31A7"/>
    <w:rsid w:val="000A4927"/>
    <w:rsid w:val="000F772A"/>
    <w:rsid w:val="00182084"/>
    <w:rsid w:val="00184D02"/>
    <w:rsid w:val="00186B4B"/>
    <w:rsid w:val="00235062"/>
    <w:rsid w:val="002A20F3"/>
    <w:rsid w:val="002A6737"/>
    <w:rsid w:val="002E0372"/>
    <w:rsid w:val="002E2A3D"/>
    <w:rsid w:val="002E7ADF"/>
    <w:rsid w:val="00324142"/>
    <w:rsid w:val="003855CD"/>
    <w:rsid w:val="00396DB4"/>
    <w:rsid w:val="003B0585"/>
    <w:rsid w:val="003B60C8"/>
    <w:rsid w:val="003F1D40"/>
    <w:rsid w:val="00423428"/>
    <w:rsid w:val="00432139"/>
    <w:rsid w:val="004510BB"/>
    <w:rsid w:val="004872E5"/>
    <w:rsid w:val="00487900"/>
    <w:rsid w:val="004D0D0B"/>
    <w:rsid w:val="00535CAE"/>
    <w:rsid w:val="00543840"/>
    <w:rsid w:val="005E00F0"/>
    <w:rsid w:val="005F650C"/>
    <w:rsid w:val="006216B1"/>
    <w:rsid w:val="0063107D"/>
    <w:rsid w:val="00654631"/>
    <w:rsid w:val="006C7B19"/>
    <w:rsid w:val="00703036"/>
    <w:rsid w:val="007B63D5"/>
    <w:rsid w:val="00803A18"/>
    <w:rsid w:val="0087625D"/>
    <w:rsid w:val="00892697"/>
    <w:rsid w:val="008C0BF2"/>
    <w:rsid w:val="0094595C"/>
    <w:rsid w:val="009657A7"/>
    <w:rsid w:val="009A3F8F"/>
    <w:rsid w:val="009F5F08"/>
    <w:rsid w:val="00A302E2"/>
    <w:rsid w:val="00A94456"/>
    <w:rsid w:val="00AB6B73"/>
    <w:rsid w:val="00B84F23"/>
    <w:rsid w:val="00BA0C98"/>
    <w:rsid w:val="00BD0909"/>
    <w:rsid w:val="00BD0F7A"/>
    <w:rsid w:val="00C076F3"/>
    <w:rsid w:val="00C130B5"/>
    <w:rsid w:val="00C53317"/>
    <w:rsid w:val="00C55BD6"/>
    <w:rsid w:val="00C63106"/>
    <w:rsid w:val="00C74694"/>
    <w:rsid w:val="00C8759F"/>
    <w:rsid w:val="00D107BE"/>
    <w:rsid w:val="00D4676D"/>
    <w:rsid w:val="00D65F84"/>
    <w:rsid w:val="00D72AF4"/>
    <w:rsid w:val="00DD254C"/>
    <w:rsid w:val="00DD6268"/>
    <w:rsid w:val="00DE1C40"/>
    <w:rsid w:val="00DE2F38"/>
    <w:rsid w:val="00E60DEA"/>
    <w:rsid w:val="00E969CD"/>
    <w:rsid w:val="00EA79A7"/>
    <w:rsid w:val="00EB2848"/>
    <w:rsid w:val="00F225DF"/>
    <w:rsid w:val="00F3316E"/>
    <w:rsid w:val="00F3655F"/>
    <w:rsid w:val="00F375AA"/>
    <w:rsid w:val="00FF0F6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FDE"/>
  <w15:docId w15:val="{72D291F2-BC36-4816-8A82-70A9B4F4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E5"/>
    <w:pPr>
      <w:spacing w:after="0" w:line="240" w:lineRule="auto"/>
    </w:pPr>
    <w:rPr>
      <w:rFonts w:ascii="Bookman Old Style" w:hAnsi="Bookman Old Style" w:cs="Times New Roman"/>
      <w:i/>
      <w:iCs/>
      <w:color w:val="00007D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694"/>
    <w:pPr>
      <w:tabs>
        <w:tab w:val="center" w:pos="4252"/>
        <w:tab w:val="right" w:pos="8504"/>
      </w:tabs>
    </w:pPr>
    <w:rPr>
      <w:rFonts w:asciiTheme="minorHAnsi" w:hAnsiTheme="minorHAnsi" w:cstheme="minorBidi"/>
      <w:i w:val="0"/>
      <w:iCs w:val="0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4694"/>
  </w:style>
  <w:style w:type="paragraph" w:styleId="Piedepgina">
    <w:name w:val="footer"/>
    <w:basedOn w:val="Normal"/>
    <w:link w:val="PiedepginaCar"/>
    <w:uiPriority w:val="99"/>
    <w:unhideWhenUsed/>
    <w:rsid w:val="00C74694"/>
    <w:pPr>
      <w:tabs>
        <w:tab w:val="center" w:pos="4252"/>
        <w:tab w:val="right" w:pos="8504"/>
      </w:tabs>
    </w:pPr>
    <w:rPr>
      <w:rFonts w:asciiTheme="minorHAnsi" w:hAnsiTheme="minorHAnsi" w:cstheme="minorBidi"/>
      <w:i w:val="0"/>
      <w:iCs w:val="0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694"/>
  </w:style>
  <w:style w:type="paragraph" w:styleId="Sinespaciado">
    <w:name w:val="No Spacing"/>
    <w:uiPriority w:val="1"/>
    <w:qFormat/>
    <w:rsid w:val="00C7469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746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7BE"/>
    <w:rPr>
      <w:rFonts w:ascii="Tahoma" w:hAnsi="Tahoma" w:cs="Tahoma"/>
      <w:i w:val="0"/>
      <w:iCs w:val="0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7B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53317"/>
    <w:rPr>
      <w:rFonts w:ascii="Consolas" w:hAnsi="Consolas" w:cs="Consolas"/>
      <w:i w:val="0"/>
      <w:iCs w:val="0"/>
      <w:color w:val="auto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53317"/>
    <w:rPr>
      <w:rFonts w:ascii="Consolas" w:hAnsi="Consolas" w:cs="Consolas"/>
      <w:sz w:val="21"/>
      <w:szCs w:val="21"/>
      <w:lang w:eastAsia="es-ES"/>
    </w:rPr>
  </w:style>
  <w:style w:type="character" w:styleId="Textoennegrita">
    <w:name w:val="Strong"/>
    <w:basedOn w:val="Fuentedeprrafopredeter"/>
    <w:uiPriority w:val="22"/>
    <w:qFormat/>
    <w:rsid w:val="00C53317"/>
    <w:rPr>
      <w:b/>
      <w:bCs/>
    </w:rPr>
  </w:style>
  <w:style w:type="paragraph" w:styleId="Prrafodelista">
    <w:name w:val="List Paragraph"/>
    <w:basedOn w:val="Normal"/>
    <w:uiPriority w:val="34"/>
    <w:qFormat/>
    <w:rsid w:val="00C5331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32139"/>
    <w:rPr>
      <w:rFonts w:ascii="Times New Roman" w:eastAsia="Times New Roman" w:hAnsi="Times New Roman"/>
      <w:i w:val="0"/>
      <w:iCs w:val="0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321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D0909"/>
    <w:pPr>
      <w:spacing w:before="100" w:beforeAutospacing="1" w:after="100" w:afterAutospacing="1"/>
    </w:pPr>
    <w:rPr>
      <w:rFonts w:ascii="Times New Roman" w:eastAsiaTheme="minorEastAsia" w:hAnsi="Times New Roman"/>
      <w:i w:val="0"/>
      <w:iCs w:val="0"/>
      <w:color w:val="auto"/>
    </w:rPr>
  </w:style>
  <w:style w:type="table" w:styleId="Tablaconcuadrcula">
    <w:name w:val="Table Grid"/>
    <w:basedOn w:val="Tablanormal"/>
    <w:uiPriority w:val="59"/>
    <w:unhideWhenUsed/>
    <w:rsid w:val="006C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3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ir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http://www.astic.net" TargetMode="External"/><Relationship Id="rId4" Type="http://schemas.openxmlformats.org/officeDocument/2006/relationships/hyperlink" Target="mailto:comercial@seti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C4642306F8D4EA49372122BC73D6F" ma:contentTypeVersion="14" ma:contentTypeDescription="Crear nuevo documento." ma:contentTypeScope="" ma:versionID="153fbb3f21427afbb5e9e4c2edb84ac7">
  <xsd:schema xmlns:xsd="http://www.w3.org/2001/XMLSchema" xmlns:xs="http://www.w3.org/2001/XMLSchema" xmlns:p="http://schemas.microsoft.com/office/2006/metadata/properties" xmlns:ns2="7ce8eff6-1462-4d48-a1e2-fcd0f35f642d" xmlns:ns3="0e189843-fe5a-4d95-b3bd-244e4e59d5c4" targetNamespace="http://schemas.microsoft.com/office/2006/metadata/properties" ma:root="true" ma:fieldsID="ce68be819906ef2d8059acb510fd027c" ns2:_="" ns3:_="">
    <xsd:import namespace="7ce8eff6-1462-4d48-a1e2-fcd0f35f642d"/>
    <xsd:import namespace="0e189843-fe5a-4d95-b3bd-244e4e59d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eff6-1462-4d48-a1e2-fcd0f35f6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dbb1505-5b5d-4a3e-9d1d-73879b76b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9843-fe5a-4d95-b3bd-244e4e59d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394052-60d1-451e-89c0-338022dade0b}" ma:internalName="TaxCatchAll" ma:showField="CatchAllData" ma:web="0e189843-fe5a-4d95-b3bd-244e4e59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8eff6-1462-4d48-a1e2-fcd0f35f642d">
      <Terms xmlns="http://schemas.microsoft.com/office/infopath/2007/PartnerControls"/>
    </lcf76f155ced4ddcb4097134ff3c332f>
    <TaxCatchAll xmlns="0e189843-fe5a-4d95-b3bd-244e4e59d5c4" xsi:nil="true"/>
  </documentManagement>
</p:properties>
</file>

<file path=customXml/itemProps1.xml><?xml version="1.0" encoding="utf-8"?>
<ds:datastoreItem xmlns:ds="http://schemas.openxmlformats.org/officeDocument/2006/customXml" ds:itemID="{6EE35BE6-FB96-461C-A646-00EF12CC7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CFFE0-658D-4C15-B3C3-52DA8941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8eff6-1462-4d48-a1e2-fcd0f35f642d"/>
    <ds:schemaRef ds:uri="0e189843-fe5a-4d95-b3bd-244e4e59d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A99FF-FCE8-4F55-B5BB-F00DD6DD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73EDA-2608-45EF-AD85-3598AA152F38}">
  <ds:schemaRefs>
    <ds:schemaRef ds:uri="http://schemas.microsoft.com/office/2006/metadata/properties"/>
    <ds:schemaRef ds:uri="http://schemas.microsoft.com/office/infopath/2007/PartnerControls"/>
    <ds:schemaRef ds:uri="7ce8eff6-1462-4d48-a1e2-fcd0f35f642d"/>
    <ds:schemaRef ds:uri="0e189843-fe5a-4d95-b3bd-244e4e59d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Miguel Ángel Grande Flórez</cp:lastModifiedBy>
  <cp:revision>4</cp:revision>
  <cp:lastPrinted>2016-09-06T07:10:00Z</cp:lastPrinted>
  <dcterms:created xsi:type="dcterms:W3CDTF">2019-01-30T10:45:00Z</dcterms:created>
  <dcterms:modified xsi:type="dcterms:W3CDTF">2023-03-09T14:11:00Z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0x01010013EC4642306F8D4EA49372122BC73D6F</vt:lpwstr>
  </property>
  <property fmtid="{D5CDD505-2E9C-101B-9397-08002B2CF9AE}" pid="3" name="MediaServiceImageTags">
    <vt:lpwstr/>
  </property>
</Properties>
</file>